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五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（2018年9月</w:t>
      </w:r>
      <w:r>
        <w:rPr>
          <w:rFonts w:hint="eastAsia"/>
          <w:b/>
          <w:bCs/>
          <w:color w:val="000000"/>
          <w:sz w:val="24"/>
          <w:lang w:val="en-US" w:eastAsia="zh-CN"/>
        </w:rPr>
        <w:t>26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—2018年9月</w:t>
      </w:r>
      <w:r>
        <w:rPr>
          <w:rFonts w:hint="eastAsia"/>
          <w:b/>
          <w:bCs/>
          <w:color w:val="000000"/>
          <w:sz w:val="24"/>
          <w:lang w:val="en-US" w:eastAsia="zh-CN"/>
        </w:rPr>
        <w:t>30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00"/>
        <w:gridCol w:w="1000"/>
        <w:gridCol w:w="1800"/>
        <w:gridCol w:w="1575"/>
        <w:gridCol w:w="5091"/>
      </w:tblGrid>
      <w:tr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9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88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9月26日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学生节后返校情况汇报会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学生工作部（处）、各学院党总支书记、各学院分团委书记</w:t>
            </w:r>
          </w:p>
        </w:tc>
      </w:tr>
      <w:tr>
        <w:trPr>
          <w:cantSplit/>
          <w:trHeight w:val="73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9月27日</w:t>
            </w:r>
          </w:p>
          <w:p>
            <w:pPr>
              <w:jc w:val="both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创客中心工作运行布置会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创客中心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相关校领导，教务处，网络中心，创客中心，各教学单位负责人、教学副院长</w:t>
            </w:r>
          </w:p>
        </w:tc>
      </w:tr>
      <w:tr>
        <w:trPr>
          <w:cantSplit/>
          <w:trHeight w:val="892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bookmarkStart w:id="0" w:name="_GoBack" w:colFirst="6" w:colLast="6"/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13:3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党建工作例会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张洪昭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党委组织部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各党总支、直属党支部书记</w:t>
            </w:r>
          </w:p>
        </w:tc>
      </w:tr>
      <w:bookmarkEnd w:id="0"/>
      <w:tr>
        <w:trPr>
          <w:cantSplit/>
          <w:trHeight w:val="84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9月28日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国家奖学金评定情况统计及上报工作会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91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学生工作部（处）、各学院党总支书记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638</Characters>
  <Lines>5</Lines>
  <Paragraphs>1</Paragraphs>
  <ScaleCrop>false</ScaleCrop>
  <LinksUpToDate>false</LinksUpToDate>
  <CharactersWithSpaces>748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2018-09-16T07:38:00Z</dcterms:created>
  <dc:creator>微软用户</dc:creator>
  <cp:lastModifiedBy>姚迪的 iPhone</cp:lastModifiedBy>
  <cp:lastPrinted>2018-09-18T16:39:00Z</cp:lastPrinted>
  <dcterms:modified xsi:type="dcterms:W3CDTF">2018-09-25T18:20:47Z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2052-9.0.0</vt:lpwstr>
  </property>
</Properties>
</file>