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学年第一学期第一周会议及主要活动表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843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8月27日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022</w:t>
            </w:r>
            <w:r>
              <w:rPr>
                <w:rFonts w:hint="eastAsia" w:ascii="宋体" w:hAnsi="宋体"/>
                <w:b/>
                <w:szCs w:val="21"/>
              </w:rPr>
              <w:t>年专业技术职务评审工作部署会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各单位、各部门负责人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《长春大学旅游学院学业导师（或班导师）管理办法》落实会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人事处、教师教学发展中心、</w:t>
            </w:r>
            <w:r>
              <w:rPr>
                <w:rFonts w:hint="eastAsia" w:ascii="宋体" w:hAnsi="宋体"/>
                <w:b/>
                <w:szCs w:val="21"/>
              </w:rPr>
              <w:t>各教学单位负责人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2022级新生网上报到及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疫情防控工作培训会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各学院党总支书记、2</w:t>
            </w:r>
            <w:r>
              <w:rPr>
                <w:rFonts w:ascii="宋体" w:hAnsi="宋体"/>
                <w:b/>
                <w:spacing w:val="-6"/>
                <w:szCs w:val="21"/>
              </w:rPr>
              <w:t>022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级新生辅导员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6" w:hRule="exact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党建工作例会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党委组织部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党委组织部、党委宣传部、党委统战部负责人，各党总支、直属党支部书记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新入职教师考核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教师教学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发展中心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教学楼102教室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教师教学发展中心、教学质量监督办公室人员，各教学单位负责人，新入职教师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优秀辅导员评选会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学生工作部（处）负责人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、各学院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总支书记、全体辅导员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“网络信息安全”视频会议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网络中心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网络中心全体人员、全校网络信息员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2023-2025年民办高校发展扶持资金申报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教务处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负责人及相关工作人员、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各学院院长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073435B3"/>
    <w:rsid w:val="41901DDE"/>
    <w:rsid w:val="5F2D6D75"/>
    <w:rsid w:val="7BCA4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489</Words>
  <Characters>546</Characters>
  <Lines>2</Lines>
  <Paragraphs>1</Paragraphs>
  <TotalTime>1</TotalTime>
  <ScaleCrop>false</ScaleCrop>
  <LinksUpToDate>false</LinksUpToDate>
  <CharactersWithSpaces>577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2021-12-13T00:20:00Z</dcterms:created>
  <dc:creator>微软用户</dc:creator>
  <cp:lastModifiedBy>姚迪</cp:lastModifiedBy>
  <cp:lastPrinted>2022-08-29T01:11:00Z</cp:lastPrinted>
  <dcterms:modified xsi:type="dcterms:W3CDTF">2022-09-15T15:41:54Z</dcterms:modified>
  <dc:title>长春大学旅游学院2009——2010学年第二学期第5周主要活动表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B6F0D10996252074AA397E61B9CF2FB0</vt:lpwstr>
  </property>
</Properties>
</file>